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ПРОТОКОЛ № 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Общего собрания участников долевой собственности на земельный участок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 кадастровым номером 61:38:0600003:352,</w:t>
      </w:r>
    </w:p>
    <w:p>
      <w:pPr>
        <w:pStyle w:val="Normal"/>
        <w:jc w:val="center"/>
        <w:rPr>
          <w:rFonts w:eastAsia="DejaVu Sans"/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rFonts w:eastAsia="DejaVu Sans"/>
          <w:b/>
        </w:rPr>
        <w:t>установлено относительно ориентира, расположенного за пределами участка. Ориентир х. Верхнеобливский. Участок находится примерно</w:t>
      </w:r>
    </w:p>
    <w:p>
      <w:pPr>
        <w:pStyle w:val="Normal"/>
        <w:jc w:val="center"/>
        <w:rPr>
          <w:rFonts w:eastAsia="DejaVu Sans"/>
          <w:b/>
          <w:b/>
        </w:rPr>
      </w:pPr>
      <w:r>
        <w:rPr>
          <w:rFonts w:eastAsia="DejaVu Sans"/>
          <w:b/>
        </w:rPr>
        <w:t>в 2.3 км от ориентира по направлению на юго-восток.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DejaVu Sans"/>
          <w:b/>
          <w:b/>
        </w:rPr>
      </w:pPr>
      <w:r>
        <w:rPr>
          <w:rFonts w:eastAsia="DejaVu Sans"/>
          <w:b/>
        </w:rPr>
        <w:t>Почтовый адрес ориентира: Ростовская обл., р-н Тацинский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/>
        <w:tc>
          <w:tcPr>
            <w:tcW w:w="50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«03» апреля 2019 года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/>
      </w:pPr>
      <w:r>
        <w:rPr/>
        <w:t>Общее собрание участников долевой собственности (далее – общее собрание) проводится по предложению администрации Верхнеобливского сельского поселения Тацинского муниципального района Ростовской области (далее - Администрация Верхнеобливского сельского поселения), в связи с поступлением обращения ПАО «ФСК ЕЭС» об оформлении прав на часть земельного участка, находящегося в общей долевой собственности, для размещения опор ВЛ 500 кВ «Фроловская-Шахты».</w:t>
      </w:r>
    </w:p>
    <w:p>
      <w:pPr>
        <w:pStyle w:val="Normal"/>
        <w:ind w:firstLine="851"/>
        <w:jc w:val="both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Место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Дом Культуры, хутор Верхнеобливский, Тацинского муниципального района Ростовской области, ул. Советская 55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Дата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«03» апреля 2019 года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10 часов 30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окончания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 часов 00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 часов 00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закрытия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 часов 30 минут</w:t>
            </w:r>
          </w:p>
        </w:tc>
      </w:tr>
    </w:tbl>
    <w:p>
      <w:pPr>
        <w:pStyle w:val="Normal"/>
        <w:ind w:firstLine="851"/>
        <w:jc w:val="both"/>
        <w:rPr/>
      </w:pPr>
      <w:r>
        <w:rPr/>
        <w:t xml:space="preserve">В организации и проведении общего собрания участвует уполномоченное должностное лицо Администрации Верхнеобливского сельского поселения, находящегося в общей долевой собственности (далее Уполномоченное должностное лицо):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</w:t>
            </w:r>
            <w:r>
              <w:rPr>
                <w:lang w:val="en-US"/>
              </w:rPr>
              <w:t>8/1</w:t>
            </w:r>
            <w:r>
              <w:rPr/>
              <w:t xml:space="preserve"> от </w:t>
            </w:r>
            <w:r>
              <w:rPr>
                <w:lang w:val="en-US"/>
              </w:rPr>
              <w:t>22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.201</w:t>
            </w:r>
            <w:r>
              <w:rPr>
                <w:lang w:val="en-US"/>
              </w:rPr>
              <w:t>9</w:t>
            </w:r>
          </w:p>
        </w:tc>
      </w:tr>
    </w:tbl>
    <w:p>
      <w:pPr>
        <w:pStyle w:val="Normal"/>
        <w:jc w:val="both"/>
        <w:rPr/>
      </w:pPr>
      <w:r>
        <w:rPr/>
        <w:t>которое:</w:t>
      </w:r>
    </w:p>
    <w:p>
      <w:pPr>
        <w:pStyle w:val="Normal"/>
        <w:jc w:val="both"/>
        <w:rPr/>
      </w:pPr>
      <w:r>
        <w:rPr/>
        <w:t>1)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закона;</w:t>
      </w:r>
    </w:p>
    <w:p>
      <w:pPr>
        <w:pStyle w:val="Normal"/>
        <w:jc w:val="both"/>
        <w:rPr/>
      </w:pPr>
      <w:r>
        <w:rPr/>
        <w:t>2) удостоверяет полномочия присутствующих на собрании лиц;</w:t>
      </w:r>
    </w:p>
    <w:p>
      <w:pPr>
        <w:pStyle w:val="Normal"/>
        <w:jc w:val="both"/>
        <w:rPr/>
      </w:pPr>
      <w:r>
        <w:rPr/>
        <w:t>3) председательствует при открытии и ведении общего собрания, если иной председатель не будет избран;</w:t>
      </w:r>
    </w:p>
    <w:p>
      <w:pPr>
        <w:pStyle w:val="Normal"/>
        <w:jc w:val="both"/>
        <w:rPr/>
      </w:pPr>
      <w:r>
        <w:rPr/>
        <w:t>4) обеспечивает соблюдение требований настоящего Федерального закона к порядку проведения общего собрания;</w:t>
      </w:r>
    </w:p>
    <w:p>
      <w:pPr>
        <w:pStyle w:val="Normal"/>
        <w:jc w:val="both"/>
        <w:rPr/>
      </w:pPr>
      <w:r>
        <w:rPr/>
        <w:t>5) разъясняет участникам долевой собственности их права и обязанности при проведении общего собрания;</w:t>
      </w:r>
    </w:p>
    <w:p>
      <w:pPr>
        <w:pStyle w:val="Normal"/>
        <w:jc w:val="both"/>
        <w:rPr/>
      </w:pPr>
      <w:r>
        <w:rPr/>
        <w:t>6) подписывает протокол общего собрания;</w:t>
      </w:r>
    </w:p>
    <w:p>
      <w:pPr>
        <w:pStyle w:val="Normal"/>
        <w:jc w:val="both"/>
        <w:rPr/>
      </w:pPr>
      <w:r>
        <w:rPr/>
        <w:t>7) участвует в обсуждении вопросов с правом совещательного голоса.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На общем собрании так же присутствовали: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- арендатор земельного участка долевой собственности из земель сельскохозяйственного назначения с кадастровым номером 61:38:0600003:352 – Варламов Владимир Викторович;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- представитель ПАО «ФСК ЕЭС» Вардересян Овсеп Мартинович действующий по доверенности от 09.06.2018 № 180-18;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- представитель ПАО «ФСК ЕЭС» Татьянин Дмитрий Константинович действующий по доверенности от 09.06.2018 № 176-18.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том, что о проведении общего собрания участники долевой собственности извещены Администрацией Верхнеобливского сельского поселения посредством опубликования за 40 дней до его проведения соответствующего сообщения в средствах массовой информации путем размещения объявления в газете «Районные вести» от 22 февраля 2019 года № 9(11559). Объявление о проведении общего собрания также размещено на информационных щитах, расположенных на территории Администрации Верхнеобливского сельского поселения и на официальном сайте Администрации Верхнеобливского сельского поселения в сети "Интернет", после чего объявило о завершении регистрации участников общего собрания и об открытии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ОРГАНИЗАЦИОННЫЕ ВОПРОСЫ ОБЩЕГО СОБРАНИЯ.</w:t>
      </w:r>
    </w:p>
    <w:p>
      <w:pPr>
        <w:pStyle w:val="ListParagraph"/>
        <w:numPr>
          <w:ilvl w:val="1"/>
          <w:numId w:val="2"/>
        </w:numPr>
        <w:ind w:left="0" w:hanging="0"/>
        <w:jc w:val="both"/>
        <w:outlineLvl w:val="0"/>
        <w:rPr>
          <w:b/>
          <w:b/>
        </w:rPr>
      </w:pPr>
      <w:r>
        <w:rPr>
          <w:u w:val="single"/>
        </w:rPr>
        <w:t>Порядок и способ голосования.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проинформировало: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 Ответственность за обеспечение допуска к голосованию несет Уполномоченное должностное лицо. 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принимаются общим собранием открытым голосованием. При наличии в повестке дня общего собрания нескольких вопросов по каждому из них принимается самостоятельное решение.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Перед началом общего собрания зарегистрировавшимся участникам общего собрания вручены под роспись бюллетени для голосования.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каждому вопросу повестки общего собрания предложено три варианта ответа: «ЗА», «ПРОТИВ» и «ВОЗДЕРЖАЛИСЬ».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В случае,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закрытия общего собрания бюллетени для голосования передаются участниками долевой собственности, присутствующими на общем собрании, счетной комиссии.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итогам голосования счетная комиссия составляет протокол об итогах голосования, подписываемый членами счетной комиссии, председателем общего собрания и/или уполномоченным должностным лицом органа местного самоуправления поселения, или городского округа по месту расположения земельного участка. Протокол об итогах голосования составляется не позднее трех рабочих дней после закрытия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составления протокола об итогах голосования и подписания протокола общего собрания, бюллетени для голосования опечатываются счетной комиссией и сдаются на хранение в орган местного самоуправления поселения или городского округа по месту расположения земельного участка, находящегося в общей долевой собственности.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Протокол об итогах голосования подлежит приобщению к протоколу общего собрания (Приложение 2 к Протоколу общего собрания).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Администрация Верхнеобливского сельского поселения, размещает протокол общего собрания на своем официальном сайте в сети "Интернет" (при его наличии) и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собственности, не позднее десяти дней после даты проведения общего собрания.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ind w:left="0" w:firstLine="567"/>
        <w:jc w:val="both"/>
        <w:outlineLvl w:val="0"/>
        <w:rPr>
          <w:b/>
          <w:b/>
          <w:u w:val="single"/>
        </w:rPr>
      </w:pPr>
      <w:r>
        <w:rPr>
          <w:u w:val="single"/>
        </w:rPr>
        <w:t>Выборы председателя, секретаря, счетной комиссии общего собрания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/>
      </w:pPr>
      <w:r>
        <w:rPr/>
        <w:t>ЗАСЛУШАЛИ: Уполномоченное должностное лицо, которое проинформировало, что в соответствии с подпунктом 3 пункта 10 статьи 14.1 Федерального закона от 24.07.2002 N 101-ФЗ «Об обороте земель сельскохозяйственного назначения», в случае если иной председатель не будет избран, председательствует при ведении общего собрания - уполномоченное должностное лицо администрация Верхнеобливского сельского поселения, находящегося в общей долевой собственности и предложило избрать голосованием во время проведения общего собрания: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Normal"/>
        <w:rPr/>
      </w:pPr>
      <w:r>
        <w:rPr/>
        <w:t xml:space="preserve">РЕШИЛИ: Избрать: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jc w:val="both"/>
        <w:outlineLvl w:val="0"/>
        <w:rPr>
          <w:u w:val="single"/>
        </w:rPr>
      </w:pPr>
      <w:r>
        <w:rPr>
          <w:u w:val="single"/>
        </w:rPr>
        <w:t>Определение правомочности общего собрания</w:t>
      </w:r>
    </w:p>
    <w:p>
      <w:pPr>
        <w:pStyle w:val="Normal"/>
        <w:rPr/>
      </w:pPr>
      <w:r>
        <w:rPr/>
        <w:t>ЗАСЛУШАЛИ: Председателя общего собрания который проинформировал:</w:t>
      </w:r>
    </w:p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ЗАСЛУШАЛИ: Члена счетной комиссии который проинформировал о зарегистрированных участниках долевой собственности, присутствующих на общем собрании согласно регистрационному листу (Приложение № 1 к Протоколу общего собрания): </w:t>
      </w:r>
    </w:p>
    <w:tbl>
      <w:tblPr>
        <w:tblStyle w:val="a6"/>
        <w:tblW w:w="101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18"/>
        <w:gridCol w:w="2086"/>
        <w:gridCol w:w="2840"/>
        <w:gridCol w:w="2351"/>
      </w:tblGrid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Процент от общего количества </w:t>
            </w:r>
          </w:p>
        </w:tc>
      </w:tr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50%</w:t>
            </w:r>
          </w:p>
        </w:tc>
      </w:tr>
      <w:tr>
        <w:trPr>
          <w:trHeight w:val="661" w:hRule="atLeast"/>
        </w:trPr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Количество долей в праве общей собственности 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66,6%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360" w:hanging="0"/>
        <w:outlineLvl w:val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360" w:hanging="0"/>
        <w:outlineLvl w:val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ПОВЕСТКА ОБЩЕГО СОБРАНИЯ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сообщило, что повестка дня общего собрания указана в сообщении (уведомлении) о проведении общего собрания, а также проинформировало, что согласно пункту 4.1. статьи 14.1 Федерального закона от 24.07.2002 N 101-ФЗ «Об обороте земель сельскохозяйственного назначения», общее собрание вправе принимать решения только по вопросам, которые включены в повестку дня общего собрания. Общее собрание не вправе изменять повестку дня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Не допускается включение в повестку дня общего собрания вопросов, которые предусмотрены подпунктами 7, 8 и 10 пункта 3 статьи 14 Федерального закона от 24.07.2002 N 101-ФЗ «Об обороте земель сельскохозяйственного назначения», если решение по ним принято менее трех месяцев назад (об условиях договора аренды земельного участка, находящегося в долевой собственности, об условиях установления частного сервитута в отношении земельного участка, находящегося в долевой собственности, о заключении соглашения об изъятии недвижимого имущества для государственных или муниципальных нужд,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общего собрания, отменяющие и (или) изменяющие ранее принятые решения общего собрания, должны содержать указание на такие решения.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ЗАСЛУШАЛИ: Председателя общего собрания, который зачитал повестку общего собрания: 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>
      <w:pPr>
        <w:pStyle w:val="ListParagraph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rPr/>
      </w:pPr>
      <w:r>
        <w:rPr/>
        <w:t>По первому вопросу повестки дня: «Об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«Фроловская-Шахты»»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ЗАСЛУШАЛИ: Представителя ПАО «ФСК ЕЭС» Вардересяна Овсепа Мартиновича действующего по доверенности от 09.06.2018 № 180-18, который проинформировал: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возможных видах оформления прав ПАО «ФСК ЕЭС» на части земельного участка, находящегося в общей долевой собственности, для размещения опор ВЛ 500 кВ «Фроловская-Шахты»» на период их эксплуатации;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 xml:space="preserve"> </w:t>
      </w:r>
      <w:r>
        <w:rPr/>
        <w:t>о том, что в соответствии с пунктом 2 статьи 78 Земельного кодекса РФ,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подпункте 1 статьи 39.37 настоящего Кодекса,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правилах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РЕШИЛИ: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пользования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ListParagraph"/>
        <w:tabs>
          <w:tab w:val="left" w:pos="313" w:leader="none"/>
        </w:tabs>
        <w:ind w:left="29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долей в праве общей собственности (%),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 xml:space="preserve">4 доли </w:t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66,6%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jc w:val="both"/>
        <w:rPr/>
      </w:pPr>
      <w:r>
        <w:rPr/>
        <w:t>По второму вопросу повестки дня: «О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полномочий».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ЗАСЛУШАЛИ: Председателя общего собрания, который ПРЕДЛОЖИЛ избрать Варламова Владимира Викторовича, 1980 года рождения, пол мужской, паспорт РФ серия 6003 № 531231, выдан(кем) отделом внутренних дел Тацинского района Ростовской области выдан(когда) 26.12.2002, код подразделения 612-062, зарегистрированный(ая) по адресу Ростовская область, Тацинский район, хутор Верхнеобливский, ул. Набережная, дом №3.</w:t>
      </w:r>
    </w:p>
    <w:p>
      <w:pPr>
        <w:pStyle w:val="ListParagraph"/>
        <w:ind w:left="0" w:hanging="0"/>
        <w:jc w:val="both"/>
        <w:rPr/>
      </w:pPr>
      <w:r>
        <w:rPr/>
        <w:t xml:space="preserve">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ListParagraph"/>
        <w:ind w:left="0" w:firstLine="851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РЕШИЛИ: Избрать Варламова Владимира Викторовича, 1980 года рождения, пол мужской, паспорт РФ серия 6003 № 531231, выдан(кем) отделом внутренних дел Тацинского района Ростовской области выдан(когда) 26.12.2002, код подразделения 612-062, зарегистрированный(ая) по адресу Ростовская область, Тацинский район, хутор Верхнеобливский, ул. Набережная, дом №3.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b/>
          <w:b/>
        </w:rPr>
      </w:pPr>
      <w:r>
        <w:rPr/>
        <w:t xml:space="preserve">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</w:t>
      </w:r>
      <w:r>
        <w:rPr>
          <w:b/>
        </w:rPr>
        <w:t xml:space="preserve">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ListParagraph"/>
        <w:ind w:left="0" w:firstLine="851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долей в праве общей собственности (%),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 xml:space="preserve">4 доли </w:t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66,6%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закрытии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К настоящему протоколу прилагается:</w:t>
      </w:r>
    </w:p>
    <w:p>
      <w:pPr>
        <w:pStyle w:val="Normal"/>
        <w:jc w:val="both"/>
        <w:rPr/>
      </w:pPr>
      <w:r>
        <w:rPr/>
        <w:t>Приложение 1 – Регистрационный лист, присутствующих на общем собрании участников долевой собственности.</w:t>
      </w:r>
    </w:p>
    <w:p>
      <w:pPr>
        <w:pStyle w:val="Normal"/>
        <w:jc w:val="both"/>
        <w:rPr/>
      </w:pPr>
      <w:r>
        <w:rPr/>
        <w:t>Приложение 2 – Протокол об итогах голосования.</w:t>
      </w:r>
    </w:p>
    <w:p>
      <w:pPr>
        <w:pStyle w:val="Normal"/>
        <w:jc w:val="both"/>
        <w:rPr/>
      </w:pPr>
      <w:r>
        <w:rPr/>
        <w:t>Приложение 3 – Выписка из Единого государственного реестра недвижимости на земельный участок, находящийся в долевой собственности.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851"/>
        <w:rPr/>
      </w:pPr>
      <w:r>
        <w:rPr/>
        <w:t>Протокол общего собрания составляется в двух экземплярах, один из которых хранится у уполномоченного общим собранием лица. Второй экземпляр протокола общего собрания хранится в Администрации Верхнеобливского сельского поселения.</w:t>
      </w:r>
    </w:p>
    <w:p>
      <w:pPr>
        <w:pStyle w:val="Normal"/>
        <w:ind w:firstLine="851"/>
        <w:jc w:val="both"/>
        <w:rPr/>
      </w:pPr>
      <w:r>
        <w:rPr/>
      </w:r>
    </w:p>
    <w:tbl>
      <w:tblPr>
        <w:tblStyle w:val="a6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426"/>
        <w:gridCol w:w="1985"/>
        <w:gridCol w:w="425"/>
        <w:gridCol w:w="2976"/>
      </w:tblGrid>
      <w:tr>
        <w:trPr>
          <w:trHeight w:val="609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bookmarkStart w:id="0" w:name="_GoBack"/>
            <w:bookmarkEnd w:id="0"/>
            <w:r>
              <w:rPr/>
              <w:t>Бабанова Л.А.</w:t>
            </w:r>
          </w:p>
        </w:tc>
      </w:tr>
      <w:tr>
        <w:trPr>
          <w:trHeight w:val="168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  <w:tr>
        <w:trPr>
          <w:trHeight w:val="594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Секретарь       общего собрания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280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</w:tbl>
    <w:p>
      <w:pPr>
        <w:pStyle w:val="Normal"/>
        <w:ind w:left="4248" w:firstLine="708"/>
        <w:jc w:val="righ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ind w:left="4248" w:firstLine="708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РЕГИСТРАЦИОННЫЙ ЛИСТ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присутствующих 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 кадастровым номером 61:38:0600003:352,</w:t>
      </w:r>
    </w:p>
    <w:p>
      <w:pPr>
        <w:pStyle w:val="Normal"/>
        <w:jc w:val="center"/>
        <w:rPr>
          <w:rFonts w:eastAsia="DejaVu Sans"/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rFonts w:eastAsia="DejaVu Sans"/>
          <w:b/>
        </w:rPr>
        <w:t>установлено относительно ориентира, расположенного за пределами участка. Ориентир х. Верхнеобливский. Участок находится примерно</w:t>
      </w:r>
    </w:p>
    <w:p>
      <w:pPr>
        <w:pStyle w:val="Normal"/>
        <w:jc w:val="center"/>
        <w:rPr>
          <w:rFonts w:eastAsia="DejaVu Sans"/>
          <w:b/>
          <w:b/>
        </w:rPr>
      </w:pPr>
      <w:r>
        <w:rPr>
          <w:rFonts w:eastAsia="DejaVu Sans"/>
          <w:b/>
        </w:rPr>
        <w:t>в 2.3 км от ориентира по направлению на юго-восток.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rFonts w:eastAsia="DejaVu Sans"/>
          <w:b/>
        </w:rPr>
        <w:t>Почтовый адрес ориентира: Ростовская обл., р-н Тацинский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tbl>
      <w:tblPr>
        <w:tblStyle w:val="a6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2"/>
        <w:gridCol w:w="2693"/>
      </w:tblGrid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«03» апреля 2019 года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0" w:hanging="0"/>
              <w:rPr/>
            </w:pPr>
            <w:r>
              <w:rPr/>
              <w:t>Время открытия регистрации участников долевой собственности: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 часов 30 минут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0" w:hanging="0"/>
              <w:rPr/>
            </w:pPr>
            <w:r>
              <w:rPr/>
              <w:t>Время закрытия регистрации участников долевой собственности: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 часов 00 минут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14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4"/>
        <w:gridCol w:w="1984"/>
        <w:gridCol w:w="4678"/>
        <w:gridCol w:w="3117"/>
      </w:tblGrid>
      <w:tr>
        <w:trPr>
          <w:tblHeader w:val="true"/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 собственника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Реквизиты документа, удостоверяющего право собственности на земельную долю и номер записи в ЕГРН, номер и дата государственной регистрации права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Размер доли (общая долевая собственность)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Степикин Александр Юрьевич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Выписка из ЕГРН от 28.03.2019 №99/2019/253348681, долевая собственность, № 61-61-44/012/2009-189 от 15.06.2009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Выписка из ЕГРН от 28.03.2019 №99/2019/253348681, долевая собственность, № 61-61-44/004/2011-56 от 07.02.2011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1/6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Варламов Алексей Викторович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Выписка из ЕГРН от 28.03.2019 №99/2019/253348681, долевая собственность, № 61-61-44/001/2014-242 от 31.01.2014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Выписка из ЕГРН от 28.03.2019 №99/2019/253348681, долевая собственность, № 61-61-44/038/2014-77 от 23.02.2011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1/6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Итоги регистрации участников долевой собственности, принявших участие в общем собрании: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27"/>
        <w:gridCol w:w="1865"/>
        <w:gridCol w:w="2077"/>
        <w:gridCol w:w="2626"/>
      </w:tblGrid>
      <w:tr>
        <w:trPr/>
        <w:tc>
          <w:tcPr>
            <w:tcW w:w="3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0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Процент от общего количества</w:t>
            </w:r>
          </w:p>
        </w:tc>
      </w:tr>
      <w:tr>
        <w:trPr/>
        <w:tc>
          <w:tcPr>
            <w:tcW w:w="3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0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50%</w:t>
            </w:r>
          </w:p>
        </w:tc>
      </w:tr>
      <w:tr>
        <w:trPr>
          <w:trHeight w:val="661" w:hRule="atLeast"/>
        </w:trPr>
        <w:tc>
          <w:tcPr>
            <w:tcW w:w="3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долей в праве общей собственности</w:t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0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66,6%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  <w:t>Полномочия присутствующих на собрании лиц удостоверены.</w:t>
      </w:r>
    </w:p>
    <w:p>
      <w:pPr>
        <w:pStyle w:val="Normal"/>
        <w:ind w:firstLine="851"/>
        <w:jc w:val="both"/>
        <w:rPr/>
      </w:pPr>
      <w:r>
        <w:rPr/>
      </w:r>
    </w:p>
    <w:tbl>
      <w:tblPr>
        <w:tblStyle w:val="a6"/>
        <w:tblW w:w="10221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78"/>
        <w:gridCol w:w="407"/>
        <w:gridCol w:w="259"/>
        <w:gridCol w:w="1624"/>
        <w:gridCol w:w="421"/>
        <w:gridCol w:w="681"/>
        <w:gridCol w:w="2651"/>
      </w:tblGrid>
      <w:tr>
        <w:trPr/>
        <w:tc>
          <w:tcPr>
            <w:tcW w:w="484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37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484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правомочно.</w:t>
            </w:r>
          </w:p>
        </w:tc>
        <w:tc>
          <w:tcPr>
            <w:tcW w:w="272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  <w:tr>
        <w:trPr>
          <w:trHeight w:val="609" w:hRule="atLeast"/>
        </w:trPr>
        <w:tc>
          <w:tcPr>
            <w:tcW w:w="41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Члены счетной комиссии:                                                     </w:t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41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  <w:tr>
        <w:trPr>
          <w:trHeight w:val="594" w:hRule="atLeast"/>
        </w:trPr>
        <w:tc>
          <w:tcPr>
            <w:tcW w:w="41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280" w:hRule="atLeast"/>
        </w:trPr>
        <w:tc>
          <w:tcPr>
            <w:tcW w:w="41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  <w:tr>
        <w:trPr/>
        <w:tc>
          <w:tcPr>
            <w:tcW w:w="41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/>
        <w:tc>
          <w:tcPr>
            <w:tcW w:w="41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 ОБ ИТОГАХ ГОЛОСОВАНИЯ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 кадастровым номером 61:38:0600003:352,</w:t>
      </w:r>
    </w:p>
    <w:p>
      <w:pPr>
        <w:pStyle w:val="Normal"/>
        <w:jc w:val="center"/>
        <w:rPr>
          <w:rFonts w:eastAsia="DejaVu Sans"/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rFonts w:eastAsia="DejaVu Sans"/>
          <w:b/>
        </w:rPr>
        <w:t>установлено относительно ориентира, расположенного за пределами участка. Ориентир х. Верхнеобливский. Участок находится примерно</w:t>
      </w:r>
    </w:p>
    <w:p>
      <w:pPr>
        <w:pStyle w:val="Normal"/>
        <w:jc w:val="center"/>
        <w:rPr>
          <w:rFonts w:eastAsia="DejaVu Sans"/>
          <w:b/>
          <w:b/>
        </w:rPr>
      </w:pPr>
      <w:r>
        <w:rPr>
          <w:rFonts w:eastAsia="DejaVu Sans"/>
          <w:b/>
        </w:rPr>
        <w:t>в 2.3 км от ориентира по направлению на юго-восток.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rFonts w:eastAsia="DejaVu Sans"/>
          <w:b/>
        </w:rPr>
        <w:t>Почтовый адрес ориентира: Ростовская обл., р-н Тацинский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2019 года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Дата подсчета голосов: 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2019 года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начала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11 часов 25 минут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окончания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11 часов 30 минут</w:t>
            </w:r>
          </w:p>
        </w:tc>
      </w:tr>
    </w:tbl>
    <w:p>
      <w:pPr>
        <w:pStyle w:val="Normal"/>
        <w:rPr/>
      </w:pPr>
      <w:r>
        <w:rPr/>
        <w:t>Подсчет голосов выполнен:</w:t>
      </w:r>
    </w:p>
    <w:tbl>
      <w:tblPr>
        <w:tblStyle w:val="a6"/>
        <w:tblW w:w="10191" w:type="dxa"/>
        <w:jc w:val="left"/>
        <w:tblInd w:w="5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2"/>
        <w:gridCol w:w="6228"/>
      </w:tblGrid>
      <w:tr>
        <w:trPr/>
        <w:tc>
          <w:tcPr>
            <w:tcW w:w="3962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2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</w:tc>
      </w:tr>
      <w:tr>
        <w:trPr/>
        <w:tc>
          <w:tcPr>
            <w:tcW w:w="3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2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/>
        <w:tc>
          <w:tcPr>
            <w:tcW w:w="3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2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2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В присутствии уполномоченного должностного лица администрация Верхнеобливского сельского поселения, находящегося в общей долевой собственности: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№4 от 02.03.2015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Повестка дня общего Собрания:</w:t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098"/>
        <w:gridCol w:w="8068"/>
      </w:tblGrid>
      <w:tr>
        <w:trPr/>
        <w:tc>
          <w:tcPr>
            <w:tcW w:w="209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Номер вопроса повестки общего собрания</w:t>
            </w:r>
          </w:p>
        </w:tc>
        <w:tc>
          <w:tcPr>
            <w:tcW w:w="806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Формулировка вопроса общего собрания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1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2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нужд(далее - уполномоченное общим собранием лицо), в том числе об объеме и о сроках таких полномочий.</w:t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Итоги голосования по вопросам повестки дня общего Собрания и формулировки решений, принятых Собранием:</w:t>
      </w:r>
    </w:p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Вопрос № 1</w:t>
      </w:r>
    </w:p>
    <w:p>
      <w:pPr>
        <w:pStyle w:val="Normal"/>
        <w:spacing w:before="0" w:after="100"/>
        <w:jc w:val="both"/>
        <w:rPr/>
      </w:pPr>
      <w:r>
        <w:rPr/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1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/>
            </w:pPr>
            <w:r>
              <w:rPr/>
              <w:t>2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/>
            </w:pPr>
            <w:r>
              <w:rPr/>
              <w:t>4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1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118"/>
        <w:gridCol w:w="3037"/>
        <w:gridCol w:w="2509"/>
        <w:gridCol w:w="2502"/>
      </w:tblGrid>
      <w:tr>
        <w:trPr>
          <w:tblHeader w:val="true"/>
          <w:cantSplit w:val="true"/>
        </w:trPr>
        <w:tc>
          <w:tcPr>
            <w:tcW w:w="2118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37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011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2118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0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211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/>
            </w:pPr>
            <w:r>
              <w:rPr/>
              <w:t>"ЗА"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4 доли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66.6%</w:t>
            </w:r>
          </w:p>
        </w:tc>
      </w:tr>
      <w:tr>
        <w:trPr>
          <w:cantSplit w:val="true"/>
        </w:trPr>
        <w:tc>
          <w:tcPr>
            <w:tcW w:w="211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/>
            </w:pPr>
            <w:r>
              <w:rPr/>
              <w:t>"ПРОТИВ"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</w:tr>
      <w:tr>
        <w:trPr>
          <w:cantSplit w:val="true"/>
        </w:trPr>
        <w:tc>
          <w:tcPr>
            <w:tcW w:w="2118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/>
            </w:pPr>
            <w:r>
              <w:rPr/>
              <w:t>"ВОЗДЕРЖАЛСЯ"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1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1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tabs>
          <w:tab w:val="left" w:pos="289" w:leader="none"/>
        </w:tabs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 xml:space="preserve">Формулировка решения, принятого общим собранием по вопросу № 1 повестки общего собрания: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пользование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ListParagraph"/>
        <w:tabs>
          <w:tab w:val="left" w:pos="313" w:leader="none"/>
        </w:tabs>
        <w:ind w:left="29" w:hanging="0"/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Вопрос № 2</w:t>
      </w:r>
    </w:p>
    <w:p>
      <w:pPr>
        <w:pStyle w:val="Normal"/>
        <w:spacing w:before="0" w:after="100"/>
        <w:jc w:val="both"/>
        <w:rPr/>
      </w:pPr>
      <w:r>
        <w:rPr/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2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/>
            </w:pPr>
            <w:r>
              <w:rPr/>
              <w:t>2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/>
            </w:pPr>
            <w:r>
              <w:rPr/>
              <w:t>4 доли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2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118"/>
        <w:gridCol w:w="3037"/>
        <w:gridCol w:w="2509"/>
        <w:gridCol w:w="2502"/>
      </w:tblGrid>
      <w:tr>
        <w:trPr>
          <w:tblHeader w:val="true"/>
          <w:cantSplit w:val="true"/>
        </w:trPr>
        <w:tc>
          <w:tcPr>
            <w:tcW w:w="2118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37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011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2118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0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211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/>
            </w:pPr>
            <w:r>
              <w:rPr/>
              <w:t>"ЗА"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4 доли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66,6%</w:t>
            </w:r>
          </w:p>
        </w:tc>
      </w:tr>
      <w:tr>
        <w:trPr>
          <w:cantSplit w:val="true"/>
        </w:trPr>
        <w:tc>
          <w:tcPr>
            <w:tcW w:w="211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/>
            </w:pPr>
            <w:r>
              <w:rPr/>
              <w:t>"ПРОТИВ"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</w:tr>
      <w:tr>
        <w:trPr>
          <w:cantSplit w:val="true"/>
        </w:trPr>
        <w:tc>
          <w:tcPr>
            <w:tcW w:w="2118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/>
            </w:pPr>
            <w:r>
              <w:rPr/>
              <w:t>"ВОЗДЕРЖАЛСЯ"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2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2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  <w:t>Формулировка решения, принятого общим собранием по вопросу № 2 повестки общего собрания: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  <w:t xml:space="preserve">Выбрать: Варламова Владимира Викторовича, 1980 года рождения, пол мужской, паспорт РФ серия 6003 № 531231, выдан(кем) отделом внутренних дел Тацинского района Ростовской области выдан(когда) 26.12.2002, код подразделения 612-062, зарегистрированный по адресу Ростовская область, Тацинский район, хутор Верхнеобливский, ул. Набережная, дом №3 -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tbl>
      <w:tblPr>
        <w:tblStyle w:val="a6"/>
        <w:tblW w:w="10221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"/>
        <w:gridCol w:w="4272"/>
        <w:gridCol w:w="417"/>
        <w:gridCol w:w="1938"/>
        <w:gridCol w:w="416"/>
        <w:gridCol w:w="3163"/>
      </w:tblGrid>
      <w:tr>
        <w:trPr>
          <w:trHeight w:val="609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Члены счетной комиссии:                                         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  <w:tr>
        <w:trPr>
          <w:trHeight w:val="594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  <w:tr>
        <w:trPr>
          <w:trHeight w:val="609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168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  <w:tr>
        <w:trPr/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/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подпись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Фамилия, инициалы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  <w:r>
        <w:br w:type="page"/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tbl>
      <w:tblPr>
        <w:tblW w:w="10132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32"/>
      </w:tblGrid>
      <w:tr>
        <w:trPr/>
        <w:tc>
          <w:tcPr>
            <w:tcW w:w="10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ПРОШИТО, ПРОНУМЕРОВАНО,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скреплено печатью</w:t>
            </w:r>
            <w:r>
              <w:rPr/>
              <w:t xml:space="preserve"> </w:t>
            </w:r>
            <w:r>
              <w:rPr>
                <w:b/>
              </w:rPr>
              <w:t xml:space="preserve">органа местного самоуправления поселения или городского округа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по месту расположения земельного участка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на 26 (Двадцати шести) листах</w:t>
            </w:r>
          </w:p>
          <w:tbl>
            <w:tblPr>
              <w:tblStyle w:val="a6"/>
              <w:tblW w:w="984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4"/>
              <w:gridCol w:w="4395"/>
              <w:gridCol w:w="426"/>
              <w:gridCol w:w="1986"/>
              <w:gridCol w:w="425"/>
              <w:gridCol w:w="2596"/>
            </w:tblGrid>
            <w:tr>
              <w:trPr>
                <w:trHeight w:val="609" w:hRule="atLeast"/>
              </w:trPr>
              <w:tc>
                <w:tcPr>
                  <w:tcW w:w="1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  <w:t xml:space="preserve">Председатель    общего собрания                                                    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Бабанова Л.А.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подпись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96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Фамилия, инициалы</w:t>
                  </w:r>
                </w:p>
              </w:tc>
            </w:tr>
            <w:tr>
              <w:trPr/>
              <w:tc>
                <w:tcPr>
                  <w:tcW w:w="4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right="0" w:hanging="0"/>
                    <w:outlineLvl w:val="0"/>
                    <w:rPr/>
                  </w:pPr>
                  <w:r>
                    <w:rPr/>
                    <w:t>Уполномоченное должностное лицо администрация Верхнеобливского сельского поселения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Бабанова Л.А.</w:t>
                  </w:r>
                </w:p>
              </w:tc>
            </w:tr>
            <w:tr>
              <w:trPr/>
              <w:tc>
                <w:tcPr>
                  <w:tcW w:w="4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right="0" w:hanging="0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подпись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96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Фамилия, инициалы</w:t>
                  </w:r>
                </w:p>
              </w:tc>
            </w:tr>
          </w:tbl>
          <w:p>
            <w:pPr>
              <w:pStyle w:val="Normal"/>
              <w:tabs>
                <w:tab w:val="left" w:pos="313" w:leader="none"/>
              </w:tabs>
              <w:jc w:val="both"/>
              <w:rPr>
                <w:b/>
                <w:b/>
                <w:bCs/>
                <w:i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15" w:leader="none"/>
        </w:tabs>
        <w:rPr/>
      </w:pPr>
      <w:r>
        <w:rPr/>
        <w:tab/>
      </w:r>
    </w:p>
    <w:sectPr>
      <w:footerReference w:type="default" r:id="rId2"/>
      <w:footerReference w:type="first" r:id="rId3"/>
      <w:type w:val="nextPage"/>
      <w:pgSz w:w="11906" w:h="16838"/>
      <w:pgMar w:left="1134" w:right="566" w:header="0" w:top="686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110205320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/>
      </w:rPr>
    </w:lvl>
  </w:abstractNum>
  <w:abstractNum w:abstractNumId="3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0cdb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Normal"/>
    <w:link w:val="20"/>
    <w:uiPriority w:val="9"/>
    <w:qFormat/>
    <w:rsid w:val="00b16325"/>
    <w:pPr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3" w:customStyle="1">
    <w:name w:val="Без интервала Знак"/>
    <w:basedOn w:val="DefaultParagraphFont"/>
    <w:link w:val="ac"/>
    <w:uiPriority w:val="1"/>
    <w:qFormat/>
    <w:rsid w:val="008f316a"/>
    <w:rPr>
      <w:rFonts w:ascii="Calibri" w:hAnsi="Calibri" w:eastAsia="" w:cs="" w:asciiTheme="minorHAnsi" w:cstheme="minorBidi" w:eastAsiaTheme="minorEastAsia" w:hAnsiTheme="minorHAnsi"/>
      <w:sz w:val="22"/>
      <w:szCs w:val="22"/>
      <w:lang w:val="ru-RU" w:eastAsia="ru-RU" w:bidi="ar-SA"/>
    </w:rPr>
  </w:style>
  <w:style w:type="character" w:styleId="Style14" w:customStyle="1">
    <w:name w:val="Текст выноски Знак"/>
    <w:basedOn w:val="DefaultParagraphFont"/>
    <w:link w:val="ae"/>
    <w:uiPriority w:val="99"/>
    <w:semiHidden/>
    <w:qFormat/>
    <w:rsid w:val="001a6f41"/>
    <w:rPr>
      <w:rFonts w:ascii="Segoe UI" w:hAnsi="Segoe UI" w:eastAsia="Times New Roman" w:cs="Segoe UI"/>
      <w:sz w:val="18"/>
      <w:szCs w:val="18"/>
      <w:lang w:val="ru-RU" w:bidi="ar-S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16325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Symbol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d555b"/>
    <w:pPr>
      <w:spacing w:before="0" w:after="0"/>
      <w:ind w:left="720" w:hanging="0"/>
      <w:contextualSpacing/>
    </w:pPr>
    <w:rPr/>
  </w:style>
  <w:style w:type="paragraph" w:styleId="Style22">
    <w:name w:val="Верхний колонтитул"/>
    <w:basedOn w:val="Normal"/>
    <w:link w:val="a9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b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8f316a"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1a6f41"/>
    <w:pPr/>
    <w:rPr>
      <w:rFonts w:ascii="Segoe UI" w:hAnsi="Segoe UI" w:cs="Segoe UI"/>
      <w:sz w:val="18"/>
      <w:szCs w:val="18"/>
    </w:rPr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5"/>
    <w:pPr/>
    <w:rPr/>
  </w:style>
  <w:style w:type="paragraph" w:styleId="Style26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e67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19CA-7F9C-4DF5-9AEB-203D9AE7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LibreOffice/4.4.4.3$Windows_x86 LibreOffice_project/2c39ebcf046445232b798108aa8a7e7d89552ea8</Application>
  <Paragraphs>417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2019-03-04T06:32:00Z</dcterms:created>
  <dc:creator>Алеев</dc:creator>
  <dc:language>en-US</dc:language>
  <cp:lastPrinted>2019-04-05T14:10:16Z</cp:lastPrinted>
  <dcterms:modified xsi:type="dcterms:W3CDTF">2019-04-05T14:12:24Z</dcterms:modified>
  <cp:revision>73</cp:revision>
  <dc:title>Примерный образец протокола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Примерный образец протокола общего собрания собственников земельного участка, находящегося в долевой собственности граждан </vt:lpwstr>
  </property>
  <property fmtid="{D5CDD505-2E9C-101B-9397-08002B2CF9AE}" pid="3" name="AppVersion">
    <vt:lpwstr>15.0000</vt:lpwstr>
  </property>
  <property fmtid="{D5CDD505-2E9C-101B-9397-08002B2CF9AE}" pid="4" name="Company">
    <vt:lpwstr>SPecialiST RePack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