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CE22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6B0763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</w:t>
      </w:r>
      <w:r w:rsidR="00B345B3">
        <w:rPr>
          <w:b/>
          <w:i/>
          <w:sz w:val="28"/>
        </w:rPr>
        <w:t>1</w:t>
      </w:r>
      <w:r>
        <w:rPr>
          <w:b/>
          <w:i/>
          <w:sz w:val="28"/>
        </w:rPr>
        <w:t xml:space="preserve"> ию</w:t>
      </w:r>
      <w:r w:rsidR="00B345B3">
        <w:rPr>
          <w:b/>
          <w:i/>
          <w:sz w:val="28"/>
        </w:rPr>
        <w:t>л</w:t>
      </w:r>
      <w:r>
        <w:rPr>
          <w:b/>
          <w:i/>
          <w:sz w:val="28"/>
        </w:rPr>
        <w:t>я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 w:rsidR="00B345B3">
        <w:rPr>
          <w:b/>
          <w:i/>
          <w:sz w:val="28"/>
        </w:rPr>
        <w:t>9</w:t>
      </w:r>
      <w:r w:rsidR="0020156A">
        <w:rPr>
          <w:b/>
          <w:i/>
          <w:sz w:val="28"/>
        </w:rPr>
        <w:t>8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</w:t>
            </w:r>
            <w:proofErr w:type="gramStart"/>
            <w:r>
              <w:rPr>
                <w:sz w:val="28"/>
                <w:szCs w:val="28"/>
              </w:rPr>
              <w:t>28.12.2024  №</w:t>
            </w:r>
            <w:proofErr w:type="gramEnd"/>
            <w:r>
              <w:rPr>
                <w:sz w:val="28"/>
                <w:szCs w:val="28"/>
              </w:rPr>
              <w:t xml:space="preserve"> 257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Верхнеобливского сельского поселения от </w:t>
      </w:r>
      <w:proofErr w:type="gramStart"/>
      <w:r>
        <w:rPr>
          <w:sz w:val="28"/>
          <w:szCs w:val="28"/>
        </w:rPr>
        <w:t>28.12.2024  №</w:t>
      </w:r>
      <w:proofErr w:type="gramEnd"/>
      <w:r>
        <w:rPr>
          <w:sz w:val="28"/>
          <w:szCs w:val="28"/>
        </w:rPr>
        <w:t xml:space="preserve"> 257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15DF8">
        <w:rPr>
          <w:sz w:val="28"/>
          <w:szCs w:val="28"/>
        </w:rPr>
        <w:t>2</w:t>
      </w:r>
      <w:r w:rsidR="00B345B3">
        <w:rPr>
          <w:sz w:val="28"/>
          <w:szCs w:val="28"/>
        </w:rPr>
        <w:t>1</w:t>
      </w:r>
      <w:r w:rsidR="00725492">
        <w:rPr>
          <w:sz w:val="28"/>
          <w:szCs w:val="28"/>
        </w:rPr>
        <w:t>.0</w:t>
      </w:r>
      <w:r w:rsidR="00B345B3">
        <w:rPr>
          <w:sz w:val="28"/>
          <w:szCs w:val="28"/>
        </w:rPr>
        <w:t>7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B345B3">
        <w:rPr>
          <w:sz w:val="28"/>
          <w:szCs w:val="28"/>
        </w:rPr>
        <w:t>9</w:t>
      </w:r>
      <w:r w:rsidR="0020156A">
        <w:rPr>
          <w:sz w:val="28"/>
          <w:szCs w:val="28"/>
        </w:rPr>
        <w:t>8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  <w:bookmarkStart w:id="1" w:name="_GoBack"/>
      <w:bookmarkEnd w:id="1"/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</w:t>
            </w:r>
            <w:proofErr w:type="gramStart"/>
            <w:r w:rsidR="001D2AC6" w:rsidRPr="001D2AC6">
              <w:rPr>
                <w:b/>
                <w:bCs/>
                <w:kern w:val="2"/>
                <w:sz w:val="24"/>
                <w:szCs w:val="24"/>
              </w:rPr>
              <w:t>поселения</w:t>
            </w:r>
            <w:r w:rsidRPr="001D2AC6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D2AC6">
              <w:rPr>
                <w:b/>
                <w:sz w:val="24"/>
                <w:szCs w:val="24"/>
              </w:rPr>
              <w:t xml:space="preserve">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B345B3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6B0763" w:rsidRPr="006B0763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B345B3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  <w:r w:rsidR="006B0763" w:rsidRPr="006B0763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</w:t>
            </w:r>
            <w:proofErr w:type="gramStart"/>
            <w:r w:rsidRPr="00B23F93">
              <w:rPr>
                <w:b/>
              </w:rPr>
              <w:t>1.Расходы</w:t>
            </w:r>
            <w:proofErr w:type="gramEnd"/>
            <w:r w:rsidRPr="00B23F93">
              <w:rPr>
                <w:b/>
              </w:rPr>
              <w:t xml:space="preserve">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B345B3" w:rsidP="00C153BD">
            <w:pPr>
              <w:jc w:val="center"/>
            </w:pPr>
            <w:r>
              <w:lastRenderedPageBreak/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</w:t>
            </w:r>
            <w:proofErr w:type="gramStart"/>
            <w:r>
              <w:rPr>
                <w:sz w:val="22"/>
                <w:szCs w:val="22"/>
              </w:rPr>
              <w:t xml:space="preserve">финансов </w:t>
            </w:r>
            <w:r w:rsidRPr="00AF7809">
              <w:rPr>
                <w:sz w:val="22"/>
                <w:szCs w:val="22"/>
              </w:rPr>
              <w:t xml:space="preserve"> Администрации</w:t>
            </w:r>
            <w:proofErr w:type="gramEnd"/>
            <w:r w:rsidRPr="00AF7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</w:t>
            </w:r>
            <w:proofErr w:type="gramStart"/>
            <w:r w:rsidRPr="00D5126B">
              <w:t>2.Расходы</w:t>
            </w:r>
            <w:proofErr w:type="gramEnd"/>
            <w:r w:rsidRPr="00D5126B">
              <w:t xml:space="preserve">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1.3..</w:t>
            </w:r>
            <w:proofErr w:type="gramEnd"/>
            <w:r w:rsidRPr="00D5126B">
              <w:t>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1.4..</w:t>
            </w:r>
            <w:proofErr w:type="gramEnd"/>
            <w:r w:rsidRPr="00D5126B">
              <w:t>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2F5E0"/>
  <w15:docId w15:val="{B1CF1B73-2E7E-452F-B938-F9D9D4B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4E9C-2391-40AC-8064-48D7D671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13</cp:revision>
  <cp:lastPrinted>2023-07-17T06:18:00Z</cp:lastPrinted>
  <dcterms:created xsi:type="dcterms:W3CDTF">2025-04-21T12:41:00Z</dcterms:created>
  <dcterms:modified xsi:type="dcterms:W3CDTF">2025-07-23T13:02:00Z</dcterms:modified>
</cp:coreProperties>
</file>